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9F15" w14:textId="77777777" w:rsidR="005428AA" w:rsidRDefault="001879D1">
      <w:pPr>
        <w:spacing w:before="1600" w:after="200"/>
        <w:jc w:val="center"/>
      </w:pPr>
      <w:r>
        <w:rPr>
          <w:b/>
          <w:bCs/>
          <w:color w:val="1F4E79"/>
          <w:sz w:val="48"/>
          <w:szCs w:val="48"/>
        </w:rPr>
        <w:t>HOAi Budget Configuration Questionnaire</w:t>
      </w:r>
    </w:p>
    <w:p w14:paraId="1BA6DE71" w14:textId="77777777" w:rsidR="005428AA" w:rsidRDefault="001879D1">
      <w:pPr>
        <w:spacing w:before="60" w:after="60"/>
      </w:pPr>
      <w:r>
        <w:t xml:space="preserve">Management Company Name: </w:t>
      </w:r>
      <w:r>
        <w:rPr>
          <w:color w:val="AAAAAA"/>
        </w:rPr>
        <w:t>________________________________________</w:t>
      </w:r>
    </w:p>
    <w:p w14:paraId="71E6C344" w14:textId="52054B26" w:rsidR="1D577915" w:rsidRDefault="1D577915" w:rsidP="1D577915">
      <w:pPr>
        <w:spacing w:before="60" w:after="60"/>
        <w:rPr>
          <w:color w:val="AAAAAA"/>
        </w:rPr>
      </w:pPr>
    </w:p>
    <w:p w14:paraId="1602D122" w14:textId="77777777" w:rsidR="005428AA" w:rsidRDefault="001879D1">
      <w:pPr>
        <w:spacing w:before="60" w:after="60"/>
      </w:pPr>
      <w:r>
        <w:t>This questionnaire captures decisions that HOAi’s budget agent cannot figure out on its own. Most budget behavior is handled automatically by analyzing your prior year data, contracts, and Vantaca configuration. Only answer what’s relevant — blank fields use the stated default. Additional display settings (columns, sheets, formatting) are configured separately in the HOAi rendering config UI.</w:t>
      </w:r>
    </w:p>
    <w:p w14:paraId="0A37501D" w14:textId="77777777" w:rsidR="005428AA" w:rsidRDefault="005428AA">
      <w:pPr>
        <w:spacing w:before="60" w:after="60"/>
      </w:pPr>
    </w:p>
    <w:p w14:paraId="63D1D67C" w14:textId="77777777" w:rsidR="005428AA" w:rsidRDefault="001879D1">
      <w:pPr>
        <w:pBdr>
          <w:left w:val="single" w:sz="8" w:space="8" w:color="4CAF50"/>
        </w:pBdr>
        <w:spacing w:before="80" w:after="120"/>
        <w:ind w:left="360"/>
      </w:pPr>
      <w:r>
        <w:rPr>
          <w:b/>
          <w:bCs/>
          <w:color w:val="2D6A2E"/>
          <w:sz w:val="19"/>
          <w:szCs w:val="19"/>
        </w:rPr>
        <w:t xml:space="preserve">→ If not answered: </w:t>
      </w:r>
      <w:r>
        <w:rPr>
          <w:color w:val="2D6A2E"/>
          <w:sz w:val="19"/>
          <w:szCs w:val="19"/>
        </w:rPr>
        <w:t>Green-bar notes like this appear directly under each question to show what happens if you skip it.</w:t>
      </w:r>
    </w:p>
    <w:p w14:paraId="5DAB6C7B" w14:textId="77777777" w:rsidR="005428AA" w:rsidRDefault="005428AA">
      <w:pPr>
        <w:pBdr>
          <w:bottom w:val="single" w:sz="4" w:space="6" w:color="1F4E79"/>
        </w:pBdr>
        <w:spacing w:before="300" w:after="100"/>
      </w:pPr>
    </w:p>
    <w:p w14:paraId="5241AAD9" w14:textId="77777777" w:rsidR="005428AA" w:rsidRDefault="001879D1">
      <w:pPr>
        <w:spacing w:before="200" w:after="120"/>
      </w:pPr>
      <w:r>
        <w:rPr>
          <w:b/>
          <w:bCs/>
          <w:color w:val="1F4E79"/>
          <w:sz w:val="30"/>
          <w:szCs w:val="30"/>
        </w:rPr>
        <w:t>Projection Methods</w:t>
      </w:r>
    </w:p>
    <w:p w14:paraId="51D85FD4" w14:textId="77777777" w:rsidR="005428AA" w:rsidRDefault="001879D1">
      <w:pPr>
        <w:spacing w:before="40" w:after="40"/>
      </w:pPr>
      <w:r>
        <w:rPr>
          <w:i/>
          <w:iCs/>
          <w:color w:val="666666"/>
          <w:sz w:val="20"/>
          <w:szCs w:val="20"/>
        </w:rPr>
        <w:t>How should the agent project the remaining months of the current year? This drives the “Projected” column on budget sheets — the baseline the proposed budget is compared against.</w:t>
      </w:r>
    </w:p>
    <w:p w14:paraId="02EB378F" w14:textId="77777777" w:rsidR="005428AA" w:rsidRDefault="005428AA">
      <w:pPr>
        <w:spacing w:before="80" w:after="80"/>
      </w:pPr>
    </w:p>
    <w:p w14:paraId="0A060B0F" w14:textId="77777777" w:rsidR="005428AA" w:rsidRDefault="001879D1">
      <w:pPr>
        <w:spacing w:before="200" w:after="60"/>
      </w:pPr>
      <w:r>
        <w:rPr>
          <w:b/>
          <w:bCs/>
        </w:rPr>
        <w:t>Default Projection Method:</w:t>
      </w:r>
    </w:p>
    <w:p w14:paraId="5A3168B2" w14:textId="7A68B7F7" w:rsidR="005428AA" w:rsidRDefault="001879D1">
      <w:pPr>
        <w:spacing w:before="40" w:after="40"/>
        <w:ind w:left="360"/>
      </w:pPr>
      <w:r>
        <w:t>[ ] Historical average (average of past years in the database)</w:t>
      </w:r>
    </w:p>
    <w:p w14:paraId="4C1BA9AE" w14:textId="7A40006E" w:rsidR="005428AA" w:rsidRDefault="001879D1" w:rsidP="7281644C">
      <w:pPr>
        <w:spacing w:before="40" w:after="40"/>
        <w:ind w:left="360"/>
      </w:pPr>
      <w:r>
        <w:t>[ ] Annualized current year (YTD actuals ÷ months elapsed × 12)</w:t>
      </w:r>
    </w:p>
    <w:p w14:paraId="6A05A809" w14:textId="1520F54B" w:rsidR="005428AA" w:rsidRDefault="3C2E3D34" w:rsidP="3C2E3D34">
      <w:pPr>
        <w:spacing w:before="40" w:after="40"/>
        <w:ind w:left="360"/>
      </w:pPr>
      <w:r w:rsidRPr="3C2E3D34">
        <w:t>[ ] Current year budget</w:t>
      </w:r>
    </w:p>
    <w:p w14:paraId="7D2D100F" w14:textId="77777777" w:rsidR="005428AA" w:rsidRDefault="001879D1">
      <w:pPr>
        <w:spacing w:before="200" w:after="120"/>
      </w:pPr>
      <w:r>
        <w:rPr>
          <w:b/>
          <w:bCs/>
          <w:color w:val="1F4E79"/>
          <w:sz w:val="30"/>
          <w:szCs w:val="30"/>
        </w:rPr>
        <w:t>Management Fee</w:t>
      </w:r>
    </w:p>
    <w:p w14:paraId="09A998D6" w14:textId="77777777" w:rsidR="005428AA" w:rsidRDefault="001879D1">
      <w:pPr>
        <w:spacing w:before="40" w:after="40"/>
      </w:pPr>
      <w:r>
        <w:rPr>
          <w:i/>
          <w:iCs/>
          <w:color w:val="666666"/>
          <w:sz w:val="20"/>
          <w:szCs w:val="20"/>
        </w:rPr>
        <w:t>Management fees are company-controlled, so the agent needs explicit input. If you have a standard annual increase, specify it here. If it varies by association, leave blank and ensure each association’s management contract is uploaded to Vantaca.</w:t>
      </w:r>
    </w:p>
    <w:p w14:paraId="41C8F396" w14:textId="77777777" w:rsidR="005428AA" w:rsidRDefault="005428AA">
      <w:pPr>
        <w:spacing w:before="80" w:after="80"/>
      </w:pPr>
    </w:p>
    <w:p w14:paraId="37ADCBFB" w14:textId="77777777" w:rsidR="005428AA" w:rsidRDefault="001879D1">
      <w:pPr>
        <w:spacing w:before="200" w:after="60"/>
      </w:pPr>
      <w:r>
        <w:rPr>
          <w:b/>
          <w:bCs/>
        </w:rPr>
        <w:t>Company-wide management fee increase:</w:t>
      </w:r>
    </w:p>
    <w:p w14:paraId="0A0F2A91" w14:textId="0AC09F06" w:rsidR="005428AA" w:rsidRDefault="001879D1">
      <w:pPr>
        <w:spacing w:before="40" w:after="40"/>
        <w:ind w:left="360"/>
      </w:pPr>
      <w:r>
        <w:t xml:space="preserve">[ ] Increase: </w:t>
      </w:r>
      <w:r>
        <w:rPr>
          <w:color w:val="AAAAAA"/>
        </w:rPr>
        <w:t>_________%</w:t>
      </w:r>
    </w:p>
    <w:p w14:paraId="2CFC6447" w14:textId="0C7C1FF0" w:rsidR="005428AA" w:rsidRDefault="001879D1" w:rsidP="7281644C">
      <w:pPr>
        <w:spacing w:before="40" w:after="40"/>
        <w:ind w:left="360"/>
      </w:pPr>
      <w:r>
        <w:t>[ ] Same as current year (0% increase)</w:t>
      </w:r>
    </w:p>
    <w:p w14:paraId="71A5BC43" w14:textId="29D572D4" w:rsidR="005428AA" w:rsidRDefault="001879D1">
      <w:pPr>
        <w:spacing w:before="40" w:after="40"/>
        <w:ind w:left="360"/>
      </w:pPr>
      <w:r>
        <w:t>[ ] Flat dollar amount instead of %: $</w:t>
      </w:r>
      <w:r>
        <w:rPr>
          <w:color w:val="AAAAAA"/>
        </w:rPr>
        <w:t>_________</w:t>
      </w:r>
    </w:p>
    <w:p w14:paraId="75EE706A" w14:textId="77777777" w:rsidR="005428AA" w:rsidRDefault="001879D1" w:rsidP="1D577915">
      <w:pPr>
        <w:pBdr>
          <w:left w:val="single" w:sz="8" w:space="8" w:color="4CAF50"/>
        </w:pBdr>
        <w:spacing w:before="80" w:after="120"/>
        <w:ind w:left="360"/>
      </w:pPr>
      <w:r>
        <w:rPr>
          <w:b/>
          <w:bCs/>
          <w:color w:val="2D6A2E"/>
          <w:sz w:val="19"/>
          <w:szCs w:val="19"/>
        </w:rPr>
        <w:t xml:space="preserve">→ If not answered: </w:t>
      </w:r>
      <w:r>
        <w:rPr>
          <w:color w:val="2D6A2E"/>
          <w:sz w:val="19"/>
          <w:szCs w:val="19"/>
        </w:rPr>
        <w:t>The agent will look for the management contract in Vantaca documents and apply the rate specified there. If no contract is found, it applies the current inflation rate.</w:t>
      </w:r>
    </w:p>
    <w:p w14:paraId="72A3D3EC" w14:textId="77777777" w:rsidR="005428AA" w:rsidRDefault="005428AA">
      <w:pPr>
        <w:spacing w:before="80" w:after="80"/>
      </w:pPr>
    </w:p>
    <w:p w14:paraId="4AA1F97A" w14:textId="77777777" w:rsidR="005428AA" w:rsidRDefault="001879D1">
      <w:pPr>
        <w:spacing w:before="200" w:after="60"/>
      </w:pPr>
      <w:r>
        <w:rPr>
          <w:b/>
          <w:bCs/>
        </w:rPr>
        <w:t>Does your management fee increase at a specific month (not fiscal year start)?</w:t>
      </w:r>
    </w:p>
    <w:p w14:paraId="44D89D6B" w14:textId="77777777" w:rsidR="005428AA" w:rsidRDefault="001879D1">
      <w:pPr>
        <w:spacing w:before="40" w:after="40"/>
      </w:pPr>
      <w:r>
        <w:rPr>
          <w:i/>
          <w:iCs/>
          <w:color w:val="666666"/>
          <w:sz w:val="20"/>
          <w:szCs w:val="20"/>
        </w:rPr>
        <w:t>Example: Contract renews in April — Jan–Mar at old rate, Apr–Dec at new rate.</w:t>
      </w:r>
    </w:p>
    <w:p w14:paraId="1EC9C44A" w14:textId="77777777" w:rsidR="005428AA" w:rsidRDefault="001879D1">
      <w:pPr>
        <w:spacing w:before="60" w:after="60"/>
      </w:pPr>
      <w:r>
        <w:t xml:space="preserve">Anniversary month (if applicable): </w:t>
      </w:r>
      <w:r>
        <w:rPr>
          <w:color w:val="AAAAAA"/>
        </w:rPr>
        <w:t>________________________________________</w:t>
      </w:r>
    </w:p>
    <w:p w14:paraId="1621E80B" w14:textId="77777777" w:rsidR="005428AA" w:rsidRDefault="001879D1">
      <w:pPr>
        <w:pBdr>
          <w:left w:val="single" w:sz="8" w:space="8" w:color="4CAF50"/>
        </w:pBdr>
        <w:spacing w:before="80" w:after="120"/>
        <w:ind w:left="360"/>
      </w:pPr>
      <w:r>
        <w:rPr>
          <w:b/>
          <w:bCs/>
          <w:color w:val="2D6A2E"/>
          <w:sz w:val="19"/>
          <w:szCs w:val="19"/>
        </w:rPr>
        <w:t xml:space="preserve">→ If not answered: </w:t>
      </w:r>
      <w:r>
        <w:rPr>
          <w:color w:val="2D6A2E"/>
          <w:sz w:val="19"/>
          <w:szCs w:val="19"/>
        </w:rPr>
        <w:t>The agent auto-detects the anniversary month by looking at when the management fee amount changed in prior year monthly actuals.</w:t>
      </w:r>
    </w:p>
    <w:p w14:paraId="0D0B940D" w14:textId="77777777" w:rsidR="005428AA" w:rsidRDefault="005428AA">
      <w:pPr>
        <w:pBdr>
          <w:bottom w:val="single" w:sz="4" w:space="6" w:color="1F4E79"/>
        </w:pBdr>
        <w:spacing w:before="300" w:after="100"/>
      </w:pPr>
    </w:p>
    <w:p w14:paraId="0849E3BB" w14:textId="77777777" w:rsidR="005428AA" w:rsidRDefault="001879D1">
      <w:pPr>
        <w:spacing w:before="200" w:after="120"/>
      </w:pPr>
      <w:r>
        <w:rPr>
          <w:b/>
          <w:bCs/>
          <w:color w:val="1F4E79"/>
          <w:sz w:val="30"/>
          <w:szCs w:val="30"/>
        </w:rPr>
        <w:t>Utility Increase Overrides</w:t>
      </w:r>
    </w:p>
    <w:p w14:paraId="7FDD851B" w14:textId="77777777" w:rsidR="005428AA" w:rsidRDefault="001879D1">
      <w:pPr>
        <w:spacing w:before="40" w:after="40"/>
      </w:pPr>
      <w:r>
        <w:rPr>
          <w:i/>
          <w:iCs/>
          <w:color w:val="666666"/>
          <w:sz w:val="20"/>
          <w:szCs w:val="20"/>
        </w:rPr>
        <w:t>By default, the agent assumes utility rates increase at the current inflation rate. Only fill in a percentage below if you want to override that for a specific utility type.</w:t>
      </w:r>
    </w:p>
    <w:p w14:paraId="0E27B00A" w14:textId="77777777" w:rsidR="005428AA" w:rsidRDefault="005428A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4360"/>
      </w:tblGrid>
      <w:tr w:rsidR="005428AA" w14:paraId="698CCD1E"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20" w:type="dxa"/>
              <w:bottom w:w="60" w:type="dxa"/>
              <w:right w:w="120" w:type="dxa"/>
            </w:tcMar>
          </w:tcPr>
          <w:p w14:paraId="33A78B95" w14:textId="77777777" w:rsidR="005428AA" w:rsidRDefault="001879D1">
            <w:r>
              <w:rPr>
                <w:b/>
                <w:bCs/>
                <w:color w:val="FFFFFF"/>
                <w:sz w:val="20"/>
                <w:szCs w:val="20"/>
              </w:rPr>
              <w:t>Service Type</w:t>
            </w:r>
          </w:p>
        </w:tc>
        <w:tc>
          <w:tcPr>
            <w:tcW w:w="4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20" w:type="dxa"/>
              <w:bottom w:w="60" w:type="dxa"/>
              <w:right w:w="120" w:type="dxa"/>
            </w:tcMar>
          </w:tcPr>
          <w:p w14:paraId="3B55796C" w14:textId="77777777" w:rsidR="005428AA" w:rsidRDefault="001879D1">
            <w:r>
              <w:rPr>
                <w:b/>
                <w:bCs/>
                <w:color w:val="FFFFFF"/>
                <w:sz w:val="20"/>
                <w:szCs w:val="20"/>
              </w:rPr>
              <w:t>Override % (blank = use contract / inflation)</w:t>
            </w:r>
          </w:p>
        </w:tc>
      </w:tr>
      <w:tr w:rsidR="005428AA" w14:paraId="60789849"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257F2750" w14:textId="77777777" w:rsidR="005428AA" w:rsidRDefault="001879D1">
            <w:r>
              <w:rPr>
                <w:sz w:val="20"/>
                <w:szCs w:val="20"/>
              </w:rPr>
              <w:t>Electric</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34D791A6" w14:textId="77777777" w:rsidR="005428AA" w:rsidRDefault="001879D1">
            <w:r>
              <w:rPr>
                <w:color w:val="AAAAAA"/>
                <w:sz w:val="20"/>
                <w:szCs w:val="20"/>
              </w:rPr>
              <w:t>_________%</w:t>
            </w:r>
          </w:p>
        </w:tc>
      </w:tr>
      <w:tr w:rsidR="005428AA" w14:paraId="1F7F74A2"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2B10C1D5" w14:textId="77777777" w:rsidR="005428AA" w:rsidRDefault="001879D1">
            <w:r>
              <w:rPr>
                <w:sz w:val="20"/>
                <w:szCs w:val="20"/>
              </w:rPr>
              <w:t>Gas</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79D50D8A" w14:textId="77777777" w:rsidR="005428AA" w:rsidRDefault="001879D1">
            <w:r>
              <w:rPr>
                <w:color w:val="AAAAAA"/>
                <w:sz w:val="20"/>
                <w:szCs w:val="20"/>
              </w:rPr>
              <w:t>_________%</w:t>
            </w:r>
          </w:p>
        </w:tc>
      </w:tr>
      <w:tr w:rsidR="005428AA" w14:paraId="69196971"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46A76CD1" w14:textId="77777777" w:rsidR="005428AA" w:rsidRDefault="001879D1">
            <w:r>
              <w:rPr>
                <w:sz w:val="20"/>
                <w:szCs w:val="20"/>
              </w:rPr>
              <w:t>Water/Sewer</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3A84E33B" w14:textId="77777777" w:rsidR="005428AA" w:rsidRDefault="001879D1">
            <w:r>
              <w:rPr>
                <w:color w:val="AAAAAA"/>
                <w:sz w:val="20"/>
                <w:szCs w:val="20"/>
              </w:rPr>
              <w:t>_________%</w:t>
            </w:r>
          </w:p>
        </w:tc>
      </w:tr>
      <w:tr w:rsidR="005428AA" w14:paraId="145BF8FC"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37E54960" w14:textId="77777777" w:rsidR="005428AA" w:rsidRDefault="001879D1">
            <w:r>
              <w:rPr>
                <w:sz w:val="20"/>
                <w:szCs w:val="20"/>
              </w:rPr>
              <w:t>Trash/Sanitation</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6EE56311" w14:textId="77777777" w:rsidR="005428AA" w:rsidRDefault="001879D1">
            <w:r>
              <w:rPr>
                <w:color w:val="AAAAAA"/>
                <w:sz w:val="20"/>
                <w:szCs w:val="20"/>
              </w:rPr>
              <w:t>_________%</w:t>
            </w:r>
          </w:p>
        </w:tc>
      </w:tr>
      <w:tr w:rsidR="005428AA" w14:paraId="724C5753"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0D4DDC80" w14:textId="77777777" w:rsidR="005428AA" w:rsidRDefault="001879D1">
            <w:r>
              <w:rPr>
                <w:sz w:val="20"/>
                <w:szCs w:val="20"/>
              </w:rPr>
              <w:t>Phone/Internet</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1FF62B04" w14:textId="77777777" w:rsidR="005428AA" w:rsidRDefault="001879D1">
            <w:r>
              <w:rPr>
                <w:color w:val="AAAAAA"/>
                <w:sz w:val="20"/>
                <w:szCs w:val="20"/>
              </w:rPr>
              <w:t>_________%</w:t>
            </w:r>
          </w:p>
        </w:tc>
      </w:tr>
      <w:tr w:rsidR="005428AA" w14:paraId="35B44146"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0EAF9DF0" w14:textId="77777777" w:rsidR="005428AA" w:rsidRDefault="001879D1">
            <w:r>
              <w:rPr>
                <w:sz w:val="20"/>
                <w:szCs w:val="20"/>
              </w:rPr>
              <w:t>Irrigation</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504D6100" w14:textId="77777777" w:rsidR="005428AA" w:rsidRDefault="001879D1">
            <w:r>
              <w:rPr>
                <w:color w:val="AAAAAA"/>
                <w:sz w:val="20"/>
                <w:szCs w:val="20"/>
              </w:rPr>
              <w:t>_________%</w:t>
            </w:r>
          </w:p>
        </w:tc>
      </w:tr>
    </w:tbl>
    <w:p w14:paraId="60061E4C" w14:textId="77777777" w:rsidR="005428AA" w:rsidRDefault="005428AA">
      <w:pPr>
        <w:spacing w:before="40" w:after="40"/>
      </w:pPr>
    </w:p>
    <w:p w14:paraId="7534F554" w14:textId="20EBE4B3" w:rsidR="005428AA" w:rsidRDefault="001879D1" w:rsidP="38597331">
      <w:pPr>
        <w:pBdr>
          <w:left w:val="single" w:sz="8" w:space="8" w:color="4CAF50"/>
        </w:pBdr>
        <w:spacing w:before="80" w:after="120"/>
        <w:ind w:left="360"/>
        <w:rPr>
          <w:color w:val="2D6A2E"/>
          <w:sz w:val="19"/>
          <w:szCs w:val="19"/>
        </w:rPr>
      </w:pPr>
      <w:r>
        <w:rPr>
          <w:b/>
          <w:bCs/>
          <w:color w:val="2D6A2E"/>
          <w:sz w:val="19"/>
          <w:szCs w:val="19"/>
        </w:rPr>
        <w:t xml:space="preserve">→ If not answered: </w:t>
      </w:r>
      <w:r>
        <w:rPr>
          <w:color w:val="2D6A2E"/>
          <w:sz w:val="19"/>
          <w:szCs w:val="19"/>
        </w:rPr>
        <w:t>For any row left blank, the agent applies a 3% increase to that utility’s projected amount to account for inflation.</w:t>
      </w:r>
    </w:p>
    <w:p w14:paraId="44EAFD9C" w14:textId="77777777" w:rsidR="005428AA" w:rsidRDefault="005428AA">
      <w:pPr>
        <w:pBdr>
          <w:bottom w:val="single" w:sz="4" w:space="6" w:color="1F4E79"/>
        </w:pBdr>
        <w:spacing w:before="300" w:after="100"/>
      </w:pPr>
    </w:p>
    <w:p w14:paraId="2C42F297" w14:textId="55770D93" w:rsidR="005428AA" w:rsidRDefault="001879D1">
      <w:pPr>
        <w:spacing w:before="200" w:after="120"/>
      </w:pPr>
      <w:r>
        <w:rPr>
          <w:b/>
          <w:bCs/>
          <w:color w:val="1F4E79"/>
          <w:sz w:val="30"/>
          <w:szCs w:val="30"/>
        </w:rPr>
        <w:t>Contract Increase Overrides</w:t>
      </w:r>
    </w:p>
    <w:p w14:paraId="14D138ED" w14:textId="77777777" w:rsidR="005428AA" w:rsidRDefault="001879D1">
      <w:pPr>
        <w:spacing w:before="40" w:after="40"/>
      </w:pPr>
      <w:r>
        <w:rPr>
          <w:i/>
          <w:iCs/>
          <w:color w:val="666666"/>
          <w:sz w:val="20"/>
          <w:szCs w:val="20"/>
        </w:rPr>
        <w:t>For each service type, the agent searches for increase information in this order: (1) your override below, (2) contract documents in Vantaca, (3) additional info fields in Vantaca, (4) current inflation rate. Only fill in an override if you want to guarantee a specific rate regardless of what’s in the contract docs.</w:t>
      </w:r>
    </w:p>
    <w:p w14:paraId="4B94D5A5" w14:textId="77777777" w:rsidR="005428AA" w:rsidRDefault="005428A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4360"/>
      </w:tblGrid>
      <w:tr w:rsidR="005428AA" w14:paraId="069D749B"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20" w:type="dxa"/>
              <w:bottom w:w="60" w:type="dxa"/>
              <w:right w:w="120" w:type="dxa"/>
            </w:tcMar>
          </w:tcPr>
          <w:p w14:paraId="008AA5AF" w14:textId="77777777" w:rsidR="005428AA" w:rsidRDefault="001879D1">
            <w:r>
              <w:rPr>
                <w:b/>
                <w:bCs/>
                <w:color w:val="FFFFFF"/>
                <w:sz w:val="20"/>
                <w:szCs w:val="20"/>
              </w:rPr>
              <w:t>Service Type</w:t>
            </w:r>
          </w:p>
        </w:tc>
        <w:tc>
          <w:tcPr>
            <w:tcW w:w="4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20" w:type="dxa"/>
              <w:bottom w:w="60" w:type="dxa"/>
              <w:right w:w="120" w:type="dxa"/>
            </w:tcMar>
          </w:tcPr>
          <w:p w14:paraId="61D4C11B" w14:textId="77777777" w:rsidR="005428AA" w:rsidRDefault="001879D1">
            <w:r>
              <w:rPr>
                <w:b/>
                <w:bCs/>
                <w:color w:val="FFFFFF"/>
                <w:sz w:val="20"/>
                <w:szCs w:val="20"/>
              </w:rPr>
              <w:t>Override % (blank = use contract / inflation)</w:t>
            </w:r>
          </w:p>
        </w:tc>
      </w:tr>
      <w:tr w:rsidR="005428AA" w14:paraId="72F2FE46"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2B030CB9" w14:textId="77777777" w:rsidR="005428AA" w:rsidRDefault="001879D1">
            <w:r>
              <w:rPr>
                <w:sz w:val="20"/>
                <w:szCs w:val="20"/>
              </w:rPr>
              <w:t>Master Insurance</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4423832B" w14:textId="77777777" w:rsidR="005428AA" w:rsidRDefault="001879D1">
            <w:r>
              <w:rPr>
                <w:color w:val="AAAAAA"/>
                <w:sz w:val="20"/>
                <w:szCs w:val="20"/>
              </w:rPr>
              <w:t>_________%</w:t>
            </w:r>
          </w:p>
        </w:tc>
      </w:tr>
      <w:tr w:rsidR="005428AA" w14:paraId="60F52440"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7545EB21" w14:textId="77777777" w:rsidR="005428AA" w:rsidRDefault="001879D1">
            <w:r>
              <w:rPr>
                <w:sz w:val="20"/>
                <w:szCs w:val="20"/>
              </w:rPr>
              <w:t>D&amp;O Insurance</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353BF1E5" w14:textId="77777777" w:rsidR="005428AA" w:rsidRDefault="001879D1">
            <w:r>
              <w:rPr>
                <w:color w:val="AAAAAA"/>
                <w:sz w:val="20"/>
                <w:szCs w:val="20"/>
              </w:rPr>
              <w:t>_________%</w:t>
            </w:r>
          </w:p>
        </w:tc>
      </w:tr>
      <w:tr w:rsidR="005428AA" w14:paraId="7BB7EF48"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4B29F99B" w14:textId="77777777" w:rsidR="005428AA" w:rsidRDefault="001879D1">
            <w:r>
              <w:rPr>
                <w:sz w:val="20"/>
                <w:szCs w:val="20"/>
              </w:rPr>
              <w:t>Workers Comp Insurance</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5C376CA6" w14:textId="77777777" w:rsidR="005428AA" w:rsidRDefault="001879D1">
            <w:r>
              <w:rPr>
                <w:color w:val="AAAAAA"/>
                <w:sz w:val="20"/>
                <w:szCs w:val="20"/>
              </w:rPr>
              <w:t>_________%</w:t>
            </w:r>
          </w:p>
        </w:tc>
      </w:tr>
      <w:tr w:rsidR="005428AA" w14:paraId="65C78844"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53218241" w14:textId="77777777" w:rsidR="005428AA" w:rsidRDefault="001879D1">
            <w:r>
              <w:rPr>
                <w:sz w:val="20"/>
                <w:szCs w:val="20"/>
              </w:rPr>
              <w:t>Fidelity Insurance</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47EA7E30" w14:textId="77777777" w:rsidR="005428AA" w:rsidRDefault="001879D1">
            <w:r>
              <w:rPr>
                <w:color w:val="AAAAAA"/>
                <w:sz w:val="20"/>
                <w:szCs w:val="20"/>
              </w:rPr>
              <w:t>_________%</w:t>
            </w:r>
          </w:p>
        </w:tc>
      </w:tr>
      <w:tr w:rsidR="005428AA" w14:paraId="15DDD82B"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597CCB32" w14:textId="77777777" w:rsidR="005428AA" w:rsidRDefault="001879D1">
            <w:r>
              <w:rPr>
                <w:sz w:val="20"/>
                <w:szCs w:val="20"/>
              </w:rPr>
              <w:t>Earthquake Insurance</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51BE3C5E" w14:textId="77777777" w:rsidR="005428AA" w:rsidRDefault="001879D1">
            <w:r>
              <w:rPr>
                <w:color w:val="AAAAAA"/>
                <w:sz w:val="20"/>
                <w:szCs w:val="20"/>
              </w:rPr>
              <w:t>_________%</w:t>
            </w:r>
          </w:p>
        </w:tc>
      </w:tr>
      <w:tr w:rsidR="005428AA" w14:paraId="0D4BE3D0"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73B06CB4" w14:textId="77777777" w:rsidR="005428AA" w:rsidRDefault="001879D1">
            <w:r>
              <w:rPr>
                <w:sz w:val="20"/>
                <w:szCs w:val="20"/>
              </w:rPr>
              <w:t>Landscaping</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0A023469" w14:textId="77777777" w:rsidR="005428AA" w:rsidRDefault="001879D1">
            <w:r>
              <w:rPr>
                <w:color w:val="AAAAAA"/>
                <w:sz w:val="20"/>
                <w:szCs w:val="20"/>
              </w:rPr>
              <w:t>_________%</w:t>
            </w:r>
          </w:p>
        </w:tc>
      </w:tr>
      <w:tr w:rsidR="005428AA" w14:paraId="707D1694"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6F0EF802" w14:textId="77777777" w:rsidR="005428AA" w:rsidRDefault="001879D1">
            <w:r>
              <w:rPr>
                <w:sz w:val="20"/>
                <w:szCs w:val="20"/>
              </w:rPr>
              <w:t>Janitorial</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79CA63DC" w14:textId="77777777" w:rsidR="005428AA" w:rsidRDefault="001879D1">
            <w:r>
              <w:rPr>
                <w:color w:val="AAAAAA"/>
                <w:sz w:val="20"/>
                <w:szCs w:val="20"/>
              </w:rPr>
              <w:t>_________%</w:t>
            </w:r>
          </w:p>
        </w:tc>
      </w:tr>
      <w:tr w:rsidR="005428AA" w14:paraId="03353C88"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59E35D42" w14:textId="77777777" w:rsidR="005428AA" w:rsidRDefault="001879D1">
            <w:r>
              <w:rPr>
                <w:sz w:val="20"/>
                <w:szCs w:val="20"/>
              </w:rPr>
              <w:t>Security</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0BD3B764" w14:textId="77777777" w:rsidR="005428AA" w:rsidRDefault="001879D1">
            <w:r>
              <w:rPr>
                <w:color w:val="AAAAAA"/>
                <w:sz w:val="20"/>
                <w:szCs w:val="20"/>
              </w:rPr>
              <w:t>_________%</w:t>
            </w:r>
          </w:p>
        </w:tc>
      </w:tr>
      <w:tr w:rsidR="005428AA" w14:paraId="2F11E23C"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064D3C77" w14:textId="77777777" w:rsidR="005428AA" w:rsidRDefault="001879D1">
            <w:r>
              <w:rPr>
                <w:sz w:val="20"/>
                <w:szCs w:val="20"/>
              </w:rPr>
              <w:t>Elevator</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30D91E19" w14:textId="77777777" w:rsidR="005428AA" w:rsidRDefault="001879D1">
            <w:r>
              <w:rPr>
                <w:color w:val="AAAAAA"/>
                <w:sz w:val="20"/>
                <w:szCs w:val="20"/>
              </w:rPr>
              <w:t>_________%</w:t>
            </w:r>
          </w:p>
        </w:tc>
      </w:tr>
      <w:tr w:rsidR="005428AA" w14:paraId="3E1E03FE"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072B556C" w14:textId="77777777" w:rsidR="005428AA" w:rsidRDefault="001879D1">
            <w:r>
              <w:rPr>
                <w:sz w:val="20"/>
                <w:szCs w:val="20"/>
              </w:rPr>
              <w:t>Pool Service</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5C20A7DA" w14:textId="77777777" w:rsidR="005428AA" w:rsidRDefault="001879D1">
            <w:r>
              <w:rPr>
                <w:color w:val="AAAAAA"/>
                <w:sz w:val="20"/>
                <w:szCs w:val="20"/>
              </w:rPr>
              <w:t>_________%</w:t>
            </w:r>
          </w:p>
        </w:tc>
      </w:tr>
      <w:tr w:rsidR="005428AA" w14:paraId="301E5AA2"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0730B8B7" w14:textId="77777777" w:rsidR="005428AA" w:rsidRDefault="001879D1">
            <w:r>
              <w:rPr>
                <w:sz w:val="20"/>
                <w:szCs w:val="20"/>
              </w:rPr>
              <w:t>Professional Services</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2A364577" w14:textId="77777777" w:rsidR="005428AA" w:rsidRDefault="001879D1">
            <w:r>
              <w:rPr>
                <w:color w:val="AAAAAA"/>
                <w:sz w:val="20"/>
                <w:szCs w:val="20"/>
              </w:rPr>
              <w:t>_________%</w:t>
            </w:r>
          </w:p>
        </w:tc>
      </w:tr>
      <w:tr w:rsidR="005428AA" w14:paraId="5ACD88FD"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726C9C33" w14:textId="77777777" w:rsidR="005428AA" w:rsidRDefault="001879D1">
            <w:r>
              <w:rPr>
                <w:sz w:val="20"/>
                <w:szCs w:val="20"/>
              </w:rPr>
              <w:t>Legal Fees</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14EDDEED" w14:textId="77777777" w:rsidR="005428AA" w:rsidRDefault="001879D1">
            <w:r>
              <w:rPr>
                <w:color w:val="AAAAAA"/>
                <w:sz w:val="20"/>
                <w:szCs w:val="20"/>
              </w:rPr>
              <w:t>_________%</w:t>
            </w:r>
          </w:p>
        </w:tc>
      </w:tr>
      <w:tr w:rsidR="005428AA" w14:paraId="7365B4A5"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42C216C1" w14:textId="77777777" w:rsidR="005428AA" w:rsidRDefault="001879D1">
            <w:r>
              <w:rPr>
                <w:sz w:val="20"/>
                <w:szCs w:val="20"/>
              </w:rPr>
              <w:t>Accounting Fees</w:t>
            </w:r>
          </w:p>
        </w:tc>
        <w:tc>
          <w:tcPr>
            <w:tcW w:w="4360" w:type="dxa"/>
            <w:tcBorders>
              <w:top w:val="single" w:sz="1" w:space="0" w:color="BBBBBB"/>
              <w:left w:val="single" w:sz="1" w:space="0" w:color="BBBBBB"/>
              <w:bottom w:val="single" w:sz="1" w:space="0" w:color="BBBBBB"/>
              <w:right w:val="single" w:sz="1" w:space="0" w:color="BBBBBB"/>
            </w:tcBorders>
            <w:tcMar>
              <w:top w:w="60" w:type="dxa"/>
              <w:left w:w="120" w:type="dxa"/>
              <w:bottom w:w="60" w:type="dxa"/>
              <w:right w:w="120" w:type="dxa"/>
            </w:tcMar>
          </w:tcPr>
          <w:p w14:paraId="3091D70F" w14:textId="77777777" w:rsidR="005428AA" w:rsidRDefault="001879D1">
            <w:r>
              <w:rPr>
                <w:color w:val="AAAAAA"/>
                <w:sz w:val="20"/>
                <w:szCs w:val="20"/>
              </w:rPr>
              <w:t>_________%</w:t>
            </w:r>
          </w:p>
        </w:tc>
      </w:tr>
      <w:tr w:rsidR="005428AA" w14:paraId="14635622" w14:textId="77777777">
        <w:tblPrEx>
          <w:tblCellMar>
            <w:top w:w="0" w:type="dxa"/>
            <w:bottom w:w="0" w:type="dxa"/>
          </w:tblCellMar>
        </w:tblPrEx>
        <w:tc>
          <w:tcPr>
            <w:tcW w:w="5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7643E73A" w14:textId="77777777" w:rsidR="005428AA" w:rsidRDefault="001879D1">
            <w:r>
              <w:rPr>
                <w:sz w:val="20"/>
                <w:szCs w:val="20"/>
              </w:rPr>
              <w:t>All Other Contracts</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tcPr>
          <w:p w14:paraId="1686B545" w14:textId="77777777" w:rsidR="005428AA" w:rsidRDefault="001879D1">
            <w:r>
              <w:rPr>
                <w:color w:val="AAAAAA"/>
                <w:sz w:val="20"/>
                <w:szCs w:val="20"/>
              </w:rPr>
              <w:t>_________%</w:t>
            </w:r>
          </w:p>
        </w:tc>
      </w:tr>
    </w:tbl>
    <w:p w14:paraId="3DEEC669" w14:textId="77777777" w:rsidR="005428AA" w:rsidRDefault="005428AA">
      <w:pPr>
        <w:spacing w:before="40" w:after="40"/>
      </w:pPr>
    </w:p>
    <w:p w14:paraId="1C3E84A2" w14:textId="1D6A107D" w:rsidR="005428AA" w:rsidRDefault="001879D1" w:rsidP="38597331">
      <w:pPr>
        <w:pBdr>
          <w:left w:val="single" w:sz="8" w:space="8" w:color="4CAF50"/>
        </w:pBdr>
        <w:spacing w:before="80" w:after="120"/>
        <w:ind w:left="360"/>
      </w:pPr>
      <w:r>
        <w:rPr>
          <w:b/>
          <w:bCs/>
          <w:color w:val="2D6A2E"/>
          <w:sz w:val="19"/>
          <w:szCs w:val="19"/>
        </w:rPr>
        <w:t xml:space="preserve">→ If not answered: </w:t>
      </w:r>
      <w:r>
        <w:rPr>
          <w:color w:val="2D6A2E"/>
          <w:sz w:val="19"/>
          <w:szCs w:val="19"/>
        </w:rPr>
        <w:t>For any row left blank, the agent checks contract documents in Vantaca first. If no contract is found, it falls back to 3% to account for inflation.</w:t>
      </w:r>
    </w:p>
    <w:p w14:paraId="3656B9AB" w14:textId="77777777" w:rsidR="005428AA" w:rsidRDefault="005428AA">
      <w:pPr>
        <w:pBdr>
          <w:bottom w:val="single" w:sz="4" w:space="6" w:color="1F4E79"/>
        </w:pBdr>
        <w:spacing w:before="300" w:after="100"/>
      </w:pPr>
    </w:p>
    <w:p w14:paraId="5389386C" w14:textId="77777777" w:rsidR="005428AA" w:rsidRDefault="001879D1">
      <w:pPr>
        <w:spacing w:before="200" w:after="120"/>
      </w:pPr>
      <w:r>
        <w:rPr>
          <w:b/>
          <w:bCs/>
          <w:color w:val="1F4E79"/>
          <w:sz w:val="30"/>
          <w:szCs w:val="30"/>
        </w:rPr>
        <w:t>Reserve Funding Minimum</w:t>
      </w:r>
    </w:p>
    <w:p w14:paraId="14596C54" w14:textId="77777777" w:rsidR="005428AA" w:rsidRDefault="001879D1">
      <w:pPr>
        <w:spacing w:before="40" w:after="40"/>
      </w:pPr>
      <w:r>
        <w:rPr>
          <w:i/>
          <w:iCs/>
          <w:color w:val="666666"/>
          <w:sz w:val="20"/>
          <w:szCs w:val="20"/>
        </w:rPr>
        <w:t>The agent auto-detects the reserve transfer amount from the reserve study (if available) or replicates the prior year’s method. This question is only about your company’s minimum funding policy — the floor below which the agent should flag a warning.</w:t>
      </w:r>
    </w:p>
    <w:p w14:paraId="45FB0818" w14:textId="77777777" w:rsidR="005428AA" w:rsidRDefault="005428AA">
      <w:pPr>
        <w:spacing w:before="80" w:after="80"/>
      </w:pPr>
    </w:p>
    <w:p w14:paraId="2C67A4C0" w14:textId="77777777" w:rsidR="005428AA" w:rsidRDefault="001879D1">
      <w:pPr>
        <w:spacing w:before="200" w:after="60"/>
      </w:pPr>
      <w:r>
        <w:rPr>
          <w:b/>
          <w:bCs/>
        </w:rPr>
        <w:t>Company minimum reserve funding target:</w:t>
      </w:r>
    </w:p>
    <w:p w14:paraId="5323AB8C" w14:textId="2A696A88" w:rsidR="005428AA" w:rsidRDefault="001879D1" w:rsidP="7281644C">
      <w:pPr>
        <w:spacing w:before="40" w:after="40"/>
        <w:ind w:left="360"/>
      </w:pPr>
      <w:r>
        <w:t>[ ] No company minimum (follow reserve study only)</w:t>
      </w:r>
    </w:p>
    <w:p w14:paraId="4986C3D6" w14:textId="7B70AB35" w:rsidR="005428AA" w:rsidRDefault="001879D1" w:rsidP="7281644C">
      <w:pPr>
        <w:spacing w:before="40" w:after="40"/>
        <w:ind w:left="360"/>
      </w:pPr>
      <w:r>
        <w:t>[ ] FHA minimum: 10% of budget</w:t>
      </w:r>
    </w:p>
    <w:p w14:paraId="2960D08A" w14:textId="0CBA84D9" w:rsidR="005428AA" w:rsidRDefault="001879D1">
      <w:pPr>
        <w:spacing w:before="40" w:after="40"/>
        <w:ind w:left="360"/>
      </w:pPr>
      <w:r>
        <w:t xml:space="preserve">[ ] Company target: </w:t>
      </w:r>
      <w:r>
        <w:rPr>
          <w:color w:val="AAAAAA"/>
        </w:rPr>
        <w:t>_________</w:t>
      </w:r>
      <w:r>
        <w:t>% of budget</w:t>
      </w:r>
    </w:p>
    <w:p w14:paraId="724A2B65" w14:textId="77777777" w:rsidR="005428AA" w:rsidRDefault="001879D1">
      <w:pPr>
        <w:pBdr>
          <w:left w:val="single" w:sz="8" w:space="8" w:color="4CAF50"/>
        </w:pBdr>
        <w:spacing w:before="80" w:after="120"/>
        <w:ind w:left="360"/>
      </w:pPr>
      <w:r>
        <w:rPr>
          <w:b/>
          <w:bCs/>
          <w:color w:val="2D6A2E"/>
          <w:sz w:val="19"/>
          <w:szCs w:val="19"/>
        </w:rPr>
        <w:t xml:space="preserve">→ If not answered: </w:t>
      </w:r>
      <w:r>
        <w:rPr>
          <w:color w:val="2D6A2E"/>
          <w:sz w:val="19"/>
          <w:szCs w:val="19"/>
        </w:rPr>
        <w:t>No minimum enforced. The agent uses the reserve study recommendation or prior year amount without a floor.</w:t>
      </w:r>
    </w:p>
    <w:p w14:paraId="049F31CB" w14:textId="77777777" w:rsidR="005428AA" w:rsidRDefault="005428AA">
      <w:pPr>
        <w:spacing w:before="40" w:after="40"/>
      </w:pPr>
    </w:p>
    <w:p w14:paraId="33953120" w14:textId="730FD245" w:rsidR="005428AA" w:rsidRDefault="001879D1" w:rsidP="7281644C">
      <w:pPr>
        <w:spacing w:before="40" w:after="40"/>
        <w:rPr>
          <w:i/>
          <w:iCs/>
          <w:color w:val="666666"/>
          <w:sz w:val="20"/>
          <w:szCs w:val="20"/>
        </w:rPr>
      </w:pPr>
      <w:r>
        <w:rPr>
          <w:i/>
          <w:iCs/>
          <w:color w:val="666666"/>
          <w:sz w:val="20"/>
          <w:szCs w:val="20"/>
        </w:rPr>
        <w:t>If the reserve contribution falls below this target, the agent flags it in the Notes column + XN Note: “Warning: reserve contribution below X% minimum target.”</w:t>
      </w:r>
    </w:p>
    <w:p w14:paraId="53128261" w14:textId="77777777" w:rsidR="005428AA" w:rsidRDefault="005428AA">
      <w:pPr>
        <w:pBdr>
          <w:bottom w:val="single" w:sz="4" w:space="6" w:color="1F4E79"/>
        </w:pBdr>
        <w:spacing w:before="300" w:after="100"/>
      </w:pPr>
    </w:p>
    <w:p w14:paraId="404700E3" w14:textId="77777777" w:rsidR="005428AA" w:rsidRDefault="001879D1">
      <w:pPr>
        <w:spacing w:before="200" w:after="120"/>
      </w:pPr>
      <w:r>
        <w:rPr>
          <w:b/>
          <w:bCs/>
          <w:color w:val="1F4E79"/>
          <w:sz w:val="30"/>
          <w:szCs w:val="30"/>
        </w:rPr>
        <w:t>Assessment Increase Cap</w:t>
      </w:r>
    </w:p>
    <w:p w14:paraId="5B3AB63D" w14:textId="77777777" w:rsidR="005428AA" w:rsidRDefault="001879D1">
      <w:pPr>
        <w:spacing w:before="40" w:after="40"/>
      </w:pPr>
      <w:r>
        <w:rPr>
          <w:i/>
          <w:iCs/>
          <w:color w:val="666666"/>
          <w:sz w:val="20"/>
          <w:szCs w:val="20"/>
        </w:rPr>
        <w:t>Set the maximum regular assessment increase per year. If the budget requires more than this, the agent caps the regular assessment and recommends the excess as a special assessment.</w:t>
      </w:r>
    </w:p>
    <w:p w14:paraId="62486C05" w14:textId="77777777" w:rsidR="005428AA" w:rsidRDefault="005428AA">
      <w:pPr>
        <w:spacing w:before="80" w:after="80"/>
      </w:pPr>
    </w:p>
    <w:p w14:paraId="2C13F892" w14:textId="77777777" w:rsidR="005428AA" w:rsidRDefault="001879D1">
      <w:pPr>
        <w:spacing w:before="200" w:after="60"/>
      </w:pPr>
      <w:r>
        <w:rPr>
          <w:b/>
          <w:bCs/>
        </w:rPr>
        <w:t>Maximum regular assessment increase:</w:t>
      </w:r>
    </w:p>
    <w:p w14:paraId="775868BB" w14:textId="59F253BF" w:rsidR="005428AA" w:rsidRDefault="001879D1" w:rsidP="7281644C">
      <w:pPr>
        <w:spacing w:before="40" w:after="40"/>
        <w:ind w:left="360"/>
      </w:pPr>
      <w:r>
        <w:t>[ ] No cap (assessment increases as much as needed to cover the full budget)</w:t>
      </w:r>
    </w:p>
    <w:p w14:paraId="21379D52" w14:textId="17FEE93E" w:rsidR="005428AA" w:rsidRDefault="001879D1">
      <w:pPr>
        <w:spacing w:before="40" w:after="40"/>
        <w:ind w:left="360"/>
      </w:pPr>
      <w:r>
        <w:t xml:space="preserve">[ ] Maximum increase: </w:t>
      </w:r>
      <w:r>
        <w:rPr>
          <w:color w:val="AAAAAA"/>
        </w:rPr>
        <w:t>_________</w:t>
      </w:r>
      <w:r>
        <w:t>% per year</w:t>
      </w:r>
    </w:p>
    <w:p w14:paraId="303C7781" w14:textId="77777777" w:rsidR="005428AA" w:rsidRDefault="001879D1">
      <w:pPr>
        <w:pBdr>
          <w:left w:val="single" w:sz="8" w:space="8" w:color="4CAF50"/>
        </w:pBdr>
        <w:spacing w:before="80" w:after="120"/>
        <w:ind w:left="360"/>
      </w:pPr>
      <w:r>
        <w:rPr>
          <w:b/>
          <w:bCs/>
          <w:color w:val="2D6A2E"/>
          <w:sz w:val="19"/>
          <w:szCs w:val="19"/>
        </w:rPr>
        <w:t xml:space="preserve">→ If not answered: </w:t>
      </w:r>
      <w:r>
        <w:rPr>
          <w:color w:val="2D6A2E"/>
          <w:sz w:val="19"/>
          <w:szCs w:val="19"/>
        </w:rPr>
        <w:t>No cap. The agent calculates assessments at whatever increase is needed to fully fund expenses + reserves. The board negotiates down from there.</w:t>
      </w:r>
    </w:p>
    <w:p w14:paraId="4101652C" w14:textId="77777777" w:rsidR="005428AA" w:rsidRDefault="005428AA">
      <w:pPr>
        <w:spacing w:before="40" w:after="40"/>
      </w:pPr>
    </w:p>
    <w:p w14:paraId="132EE0BB" w14:textId="413566FE" w:rsidR="005428AA" w:rsidRDefault="001879D1" w:rsidP="7281644C">
      <w:pPr>
        <w:spacing w:before="40" w:after="40"/>
        <w:rPr>
          <w:i/>
          <w:iCs/>
          <w:color w:val="666666"/>
          <w:sz w:val="20"/>
          <w:szCs w:val="20"/>
        </w:rPr>
      </w:pPr>
      <w:r>
        <w:rPr>
          <w:i/>
          <w:iCs/>
          <w:color w:val="666666"/>
          <w:sz w:val="20"/>
          <w:szCs w:val="20"/>
        </w:rPr>
        <w:t>When the cap is exceeded: the agent sets the regular assessment at last year’s amount + cap %, then notes the shortfall: “Regular assessment capped at X%. Remaining $Y recommended as special assessment.” The agent will automatically create a special assessment line.</w:t>
      </w:r>
    </w:p>
    <w:p w14:paraId="1AB2C3D1" w14:textId="77777777" w:rsidR="005428AA" w:rsidRDefault="005428AA">
      <w:pPr>
        <w:pBdr>
          <w:bottom w:val="single" w:sz="4" w:space="6" w:color="1F4E79"/>
        </w:pBdr>
        <w:spacing w:before="300" w:after="100"/>
      </w:pPr>
    </w:p>
    <w:p w14:paraId="1AB2C3D2" w14:textId="77777777" w:rsidR="005428AA" w:rsidRDefault="001879D1">
      <w:pPr>
        <w:spacing w:before="200" w:after="120"/>
      </w:pPr>
      <w:r>
        <w:rPr>
          <w:b/>
          <w:bCs/>
          <w:color w:val="1F4E79"/>
          <w:sz w:val="30"/>
          <w:szCs w:val="30"/>
        </w:rPr>
        <w:t>Homeowner Fees</w:t>
      </w:r>
    </w:p>
    <w:p w14:paraId="1AB2C3D3" w14:textId="77777777" w:rsidR="005428AA" w:rsidRDefault="14E79B1B">
      <w:pPr>
        <w:spacing w:before="40" w:after="40"/>
      </w:pPr>
      <w:r w:rsidRPr="14E79B1B">
        <w:rPr>
          <w:i/>
          <w:iCs/>
          <w:color w:val="666666"/>
          <w:sz w:val="20"/>
          <w:szCs w:val="20"/>
        </w:rPr>
        <w:t>Tell the agent whether to include homeowner fees (e.g., key fob, parking, etc.) as a line item in the budget. This applies company-wide across all associations.</w:t>
      </w:r>
    </w:p>
    <w:p w14:paraId="1AB2C3D4" w14:textId="77777777" w:rsidR="005428AA" w:rsidRDefault="005428AA">
      <w:pPr>
        <w:spacing w:before="80" w:after="80"/>
      </w:pPr>
    </w:p>
    <w:p w14:paraId="1AB2C3D5" w14:textId="77777777" w:rsidR="005428AA" w:rsidRDefault="001879D1">
      <w:pPr>
        <w:spacing w:before="200" w:after="60"/>
      </w:pPr>
      <w:r>
        <w:rPr>
          <w:b/>
          <w:bCs/>
        </w:rPr>
        <w:t>Do you budget for homeowner fees?</w:t>
      </w:r>
    </w:p>
    <w:p w14:paraId="1AB2C3D6" w14:textId="77777777" w:rsidR="005428AA" w:rsidRDefault="14E79B1B">
      <w:pPr>
        <w:spacing w:before="40" w:after="40"/>
        <w:ind w:left="360"/>
      </w:pPr>
      <w:r w:rsidRPr="14E79B1B">
        <w:t>[ ] Yes — include homeowner fees (key fob, parking, etc.) in the budget</w:t>
      </w:r>
    </w:p>
    <w:p w14:paraId="1AB2C3D7" w14:textId="77777777" w:rsidR="005428AA" w:rsidRDefault="14E79B1B">
      <w:pPr>
        <w:spacing w:before="40" w:after="40"/>
        <w:ind w:left="360"/>
      </w:pPr>
      <w:r w:rsidRPr="14E79B1B">
        <w:t>[ ] No — do not include homeowner fees in the budget</w:t>
      </w:r>
    </w:p>
    <w:p w14:paraId="1AB2C3D8" w14:textId="77777777" w:rsidR="005428AA" w:rsidRDefault="001879D1">
      <w:pPr>
        <w:pBdr>
          <w:left w:val="single" w:sz="8" w:space="8" w:color="4CAF50"/>
        </w:pBdr>
        <w:spacing w:before="80" w:after="120"/>
        <w:ind w:left="360"/>
      </w:pPr>
      <w:r>
        <w:rPr>
          <w:b/>
          <w:bCs/>
          <w:color w:val="2D6A2E"/>
          <w:sz w:val="19"/>
          <w:szCs w:val="19"/>
        </w:rPr>
        <w:t xml:space="preserve">→ If not answered: </w:t>
      </w:r>
      <w:r>
        <w:rPr>
          <w:color w:val="2D6A2E"/>
          <w:sz w:val="19"/>
          <w:szCs w:val="19"/>
        </w:rPr>
        <w:t>The agent will not include homeowner fees in the budget unless prior year data shows them as a recurring line item.</w:t>
      </w:r>
    </w:p>
    <w:p w14:paraId="4B99056E" w14:textId="77777777" w:rsidR="005428AA" w:rsidRDefault="005428AA" w:rsidP="7281644C">
      <w:pPr>
        <w:pBdr>
          <w:bottom w:val="single" w:sz="4" w:space="6" w:color="1F4E79"/>
        </w:pBdr>
        <w:spacing w:before="300" w:after="100"/>
      </w:pPr>
    </w:p>
    <w:p w14:paraId="67F73628" w14:textId="0CF11746" w:rsidR="005428AA" w:rsidRDefault="001879D1" w:rsidP="6C171ED6">
      <w:pPr>
        <w:spacing w:before="200" w:after="120"/>
      </w:pPr>
      <w:r>
        <w:rPr>
          <w:b/>
          <w:bCs/>
          <w:color w:val="1F4E79"/>
          <w:sz w:val="30"/>
          <w:szCs w:val="30"/>
        </w:rPr>
        <w:t>Special Notes</w:t>
      </w:r>
    </w:p>
    <w:p w14:paraId="3B06774E" w14:textId="77777777" w:rsidR="005428AA" w:rsidRDefault="001879D1">
      <w:pPr>
        <w:spacing w:before="40" w:after="40"/>
      </w:pPr>
      <w:r>
        <w:rPr>
          <w:i/>
          <w:iCs/>
          <w:color w:val="666666"/>
          <w:sz w:val="20"/>
          <w:szCs w:val="20"/>
        </w:rPr>
        <w:t>Anything else the agent should know that isn’t covered above. Association-specific instructions, unusual GL treatments, known upcoming changes, etc.</w:t>
      </w:r>
    </w:p>
    <w:p w14:paraId="1299C43A" w14:textId="77777777" w:rsidR="005428AA" w:rsidRDefault="005428AA">
      <w:pPr>
        <w:spacing w:before="80" w:after="80"/>
      </w:pPr>
    </w:p>
    <w:p w14:paraId="3FF14980" w14:textId="77777777" w:rsidR="005428AA" w:rsidRDefault="001879D1">
      <w:pPr>
        <w:spacing w:before="60" w:after="60"/>
      </w:pPr>
      <w:r>
        <w:t xml:space="preserve">Note 1: </w:t>
      </w:r>
      <w:r>
        <w:rPr>
          <w:color w:val="AAAAAA"/>
        </w:rPr>
        <w:t>________________________________________</w:t>
      </w:r>
    </w:p>
    <w:p w14:paraId="60E14F93" w14:textId="77777777" w:rsidR="005428AA" w:rsidRDefault="001879D1">
      <w:pPr>
        <w:spacing w:before="60" w:after="60"/>
      </w:pPr>
      <w:r>
        <w:t xml:space="preserve">Note 2: </w:t>
      </w:r>
      <w:r>
        <w:rPr>
          <w:color w:val="AAAAAA"/>
        </w:rPr>
        <w:t>________________________________________</w:t>
      </w:r>
    </w:p>
    <w:p w14:paraId="01988E4E" w14:textId="77777777" w:rsidR="005428AA" w:rsidRDefault="001879D1">
      <w:pPr>
        <w:spacing w:before="60" w:after="60"/>
      </w:pPr>
      <w:r>
        <w:t xml:space="preserve">Note 3: </w:t>
      </w:r>
      <w:r>
        <w:rPr>
          <w:color w:val="AAAAAA"/>
        </w:rPr>
        <w:t>________________________________________</w:t>
      </w:r>
    </w:p>
    <w:p w14:paraId="649166AB" w14:textId="77777777" w:rsidR="005428AA" w:rsidRDefault="001879D1">
      <w:pPr>
        <w:spacing w:before="60" w:after="60"/>
      </w:pPr>
      <w:r>
        <w:t xml:space="preserve">Note 4: </w:t>
      </w:r>
      <w:r>
        <w:rPr>
          <w:color w:val="AAAAAA"/>
        </w:rPr>
        <w:t>________________________________________</w:t>
      </w:r>
    </w:p>
    <w:p w14:paraId="3461D779" w14:textId="51574A1F" w:rsidR="005428AA" w:rsidRDefault="005428AA" w:rsidP="6C171ED6">
      <w:pPr>
        <w:pBdr>
          <w:bottom w:val="single" w:sz="4" w:space="6" w:color="1F4E79"/>
        </w:pBdr>
        <w:spacing w:before="300" w:after="100"/>
      </w:pPr>
    </w:p>
    <w:sectPr w:rsidR="005428AA">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1D10" w14:textId="77777777" w:rsidR="00784610" w:rsidRDefault="00784610">
      <w:r>
        <w:separator/>
      </w:r>
    </w:p>
  </w:endnote>
  <w:endnote w:type="continuationSeparator" w:id="0">
    <w:p w14:paraId="2988FDC1" w14:textId="77777777" w:rsidR="00784610" w:rsidRDefault="0078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A763" w14:textId="64AE9793" w:rsidR="005428AA" w:rsidRDefault="005428AA" w:rsidP="7281644C">
    <w:pPr>
      <w:pBdr>
        <w:top w:val="single" w:sz="2" w:space="4" w:color="CCCCCC"/>
      </w:pBdr>
      <w:jc w:val="center"/>
      <w:rPr>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C0D0" w14:textId="77777777" w:rsidR="00784610" w:rsidRDefault="00784610">
      <w:r>
        <w:separator/>
      </w:r>
    </w:p>
  </w:footnote>
  <w:footnote w:type="continuationSeparator" w:id="0">
    <w:p w14:paraId="31571A83" w14:textId="77777777" w:rsidR="00784610" w:rsidRDefault="00784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AF02" w14:textId="239A2845" w:rsidR="005428AA" w:rsidRDefault="7281644C" w:rsidP="7281644C">
    <w:pPr>
      <w:pBdr>
        <w:bottom w:val="single" w:sz="4" w:space="4" w:color="1F4E79"/>
      </w:pBdr>
      <w:jc w:val="right"/>
      <w:rPr>
        <w:i/>
        <w:iCs/>
        <w:color w:val="999999"/>
        <w:sz w:val="16"/>
        <w:szCs w:val="16"/>
      </w:rPr>
    </w:pPr>
    <w:r w:rsidRPr="7281644C">
      <w:rPr>
        <w:i/>
        <w:iCs/>
        <w:color w:val="999999"/>
        <w:sz w:val="16"/>
        <w:szCs w:val="16"/>
      </w:rPr>
      <w:t>HOAi Budget Configuration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FB21"/>
    <w:multiLevelType w:val="hybridMultilevel"/>
    <w:tmpl w:val="FFFFFFFF"/>
    <w:lvl w:ilvl="0" w:tplc="FD5C42EE">
      <w:start w:val="1"/>
      <w:numFmt w:val="bullet"/>
      <w:lvlText w:val="●"/>
      <w:lvlJc w:val="left"/>
      <w:pPr>
        <w:ind w:left="720" w:hanging="360"/>
      </w:pPr>
    </w:lvl>
    <w:lvl w:ilvl="1" w:tplc="F38E3E22">
      <w:start w:val="1"/>
      <w:numFmt w:val="bullet"/>
      <w:lvlText w:val="○"/>
      <w:lvlJc w:val="left"/>
      <w:pPr>
        <w:ind w:left="1440" w:hanging="360"/>
      </w:pPr>
    </w:lvl>
    <w:lvl w:ilvl="2" w:tplc="07FE0978">
      <w:start w:val="1"/>
      <w:numFmt w:val="bullet"/>
      <w:lvlText w:val="■"/>
      <w:lvlJc w:val="left"/>
      <w:pPr>
        <w:ind w:left="2160" w:hanging="360"/>
      </w:pPr>
    </w:lvl>
    <w:lvl w:ilvl="3" w:tplc="C054D458">
      <w:start w:val="1"/>
      <w:numFmt w:val="bullet"/>
      <w:lvlText w:val="●"/>
      <w:lvlJc w:val="left"/>
      <w:pPr>
        <w:ind w:left="2880" w:hanging="360"/>
      </w:pPr>
    </w:lvl>
    <w:lvl w:ilvl="4" w:tplc="C9740EB6">
      <w:start w:val="1"/>
      <w:numFmt w:val="bullet"/>
      <w:lvlText w:val="○"/>
      <w:lvlJc w:val="left"/>
      <w:pPr>
        <w:ind w:left="3600" w:hanging="360"/>
      </w:pPr>
    </w:lvl>
    <w:lvl w:ilvl="5" w:tplc="D5FEE922">
      <w:start w:val="1"/>
      <w:numFmt w:val="bullet"/>
      <w:lvlText w:val="■"/>
      <w:lvlJc w:val="left"/>
      <w:pPr>
        <w:ind w:left="4320" w:hanging="360"/>
      </w:pPr>
    </w:lvl>
    <w:lvl w:ilvl="6" w:tplc="5CE05336">
      <w:start w:val="1"/>
      <w:numFmt w:val="bullet"/>
      <w:lvlText w:val="●"/>
      <w:lvlJc w:val="left"/>
      <w:pPr>
        <w:ind w:left="5040" w:hanging="360"/>
      </w:pPr>
    </w:lvl>
    <w:lvl w:ilvl="7" w:tplc="D9DA43D2">
      <w:start w:val="1"/>
      <w:numFmt w:val="bullet"/>
      <w:lvlText w:val="●"/>
      <w:lvlJc w:val="left"/>
      <w:pPr>
        <w:ind w:left="5760" w:hanging="360"/>
      </w:pPr>
    </w:lvl>
    <w:lvl w:ilvl="8" w:tplc="2F30A240">
      <w:start w:val="1"/>
      <w:numFmt w:val="bullet"/>
      <w:lvlText w:val="●"/>
      <w:lvlJc w:val="left"/>
      <w:pPr>
        <w:ind w:left="6480" w:hanging="360"/>
      </w:pPr>
    </w:lvl>
  </w:abstractNum>
  <w:num w:numId="1" w16cid:durableId="2053453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77915"/>
    <w:rsid w:val="001879D1"/>
    <w:rsid w:val="002B1306"/>
    <w:rsid w:val="005428AA"/>
    <w:rsid w:val="00784610"/>
    <w:rsid w:val="00A2619A"/>
    <w:rsid w:val="0292968D"/>
    <w:rsid w:val="07BEEC01"/>
    <w:rsid w:val="09326070"/>
    <w:rsid w:val="0D15002D"/>
    <w:rsid w:val="0DE2F327"/>
    <w:rsid w:val="13179FB4"/>
    <w:rsid w:val="14A94618"/>
    <w:rsid w:val="14E79B1B"/>
    <w:rsid w:val="15643735"/>
    <w:rsid w:val="1667E05D"/>
    <w:rsid w:val="1CB1E9B4"/>
    <w:rsid w:val="1D577915"/>
    <w:rsid w:val="1E09F733"/>
    <w:rsid w:val="204FC325"/>
    <w:rsid w:val="289F6D7C"/>
    <w:rsid w:val="28AC68FE"/>
    <w:rsid w:val="2E5F9400"/>
    <w:rsid w:val="340F5191"/>
    <w:rsid w:val="38597331"/>
    <w:rsid w:val="3AE8815D"/>
    <w:rsid w:val="3C2E3D34"/>
    <w:rsid w:val="3D696AC0"/>
    <w:rsid w:val="3F855EF3"/>
    <w:rsid w:val="47B954E4"/>
    <w:rsid w:val="4BDEE8A3"/>
    <w:rsid w:val="4EC54063"/>
    <w:rsid w:val="552F0950"/>
    <w:rsid w:val="5D5BA763"/>
    <w:rsid w:val="60993DD2"/>
    <w:rsid w:val="62ACA606"/>
    <w:rsid w:val="6597B450"/>
    <w:rsid w:val="6C171ED6"/>
    <w:rsid w:val="6D6672CC"/>
    <w:rsid w:val="70285524"/>
    <w:rsid w:val="70AA0A08"/>
    <w:rsid w:val="7281644C"/>
    <w:rsid w:val="73198BF5"/>
    <w:rsid w:val="74776AC4"/>
    <w:rsid w:val="763C50EF"/>
    <w:rsid w:val="7A9BE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EBD545"/>
  <w15:docId w15:val="{68F84C77-2104-4726-A17D-74A6C5BB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heading10">
    <w:name w:val="heading 10"/>
    <w:basedOn w:val="Normal"/>
    <w:next w:val="Normal"/>
    <w:qFormat/>
    <w:pPr>
      <w:spacing w:before="300" w:after="160"/>
      <w:outlineLvl w:val="0"/>
    </w:pPr>
    <w:rPr>
      <w:b/>
      <w:bCs/>
      <w:color w:val="1F4E79"/>
      <w:sz w:val="30"/>
      <w:szCs w:val="30"/>
    </w:rPr>
  </w:style>
  <w:style w:type="paragraph" w:customStyle="1" w:styleId="heading20">
    <w:name w:val="heading 20"/>
    <w:basedOn w:val="Normal"/>
    <w:next w:val="Normal"/>
    <w:qFormat/>
    <w:pPr>
      <w:spacing w:before="240" w:after="120"/>
      <w:outlineLvl w:val="1"/>
    </w:pPr>
    <w:rPr>
      <w:b/>
      <w:bCs/>
      <w:color w:val="2E75B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09BCA56D95EF4ABBF740FDFFAD34AD" ma:contentTypeVersion="10" ma:contentTypeDescription="Create a new document." ma:contentTypeScope="" ma:versionID="e5e58b4d6592632ac0adff88e64f0cc1">
  <xsd:schema xmlns:xsd="http://www.w3.org/2001/XMLSchema" xmlns:xs="http://www.w3.org/2001/XMLSchema" xmlns:p="http://schemas.microsoft.com/office/2006/metadata/properties" xmlns:ns2="975c3629-49da-4bc5-a1c7-1711b939f03f" targetNamespace="http://schemas.microsoft.com/office/2006/metadata/properties" ma:root="true" ma:fieldsID="e6fb63ca9f644db6ea176004281c954d" ns2:_="">
    <xsd:import namespace="975c3629-49da-4bc5-a1c7-1711b939f0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c3629-49da-4bc5-a1c7-1711b939f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7a6401-690f-4fe2-8a26-0c58b45fc7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5c3629-49da-4bc5-a1c7-1711b939f0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61876-FFC2-44D0-A5CA-E80BF9A0D84A}">
  <ds:schemaRefs>
    <ds:schemaRef ds:uri="http://schemas.microsoft.com/sharepoint/v3/contenttype/forms"/>
  </ds:schemaRefs>
</ds:datastoreItem>
</file>

<file path=customXml/itemProps2.xml><?xml version="1.0" encoding="utf-8"?>
<ds:datastoreItem xmlns:ds="http://schemas.openxmlformats.org/officeDocument/2006/customXml" ds:itemID="{5DA0475B-01CB-4A67-B3CB-63497D0A4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c3629-49da-4bc5-a1c7-1711b939f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5000E-91C4-4FBF-9139-2ADCE19630E8}">
  <ds:schemaRefs>
    <ds:schemaRef ds:uri="http://schemas.microsoft.com/office/2006/metadata/properties"/>
    <ds:schemaRef ds:uri="http://schemas.microsoft.com/office/infopath/2007/PartnerControls"/>
    <ds:schemaRef ds:uri="975c3629-49da-4bc5-a1c7-1711b939f0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Shelby Moore</cp:lastModifiedBy>
  <cp:revision>10</cp:revision>
  <dcterms:created xsi:type="dcterms:W3CDTF">2026-02-27T22:16:00Z</dcterms:created>
  <dcterms:modified xsi:type="dcterms:W3CDTF">2026-04-22T14:00:00Z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0x010100AA09BCA56D95EF4ABBF740FDFFAD34AD</vt:lpwstr>
  </property>
  <property fmtid="{D5CDD505-2E9C-101B-9397-08002B2CF9AE}" pid="3" name="MediaServiceImageTags">
    <vt:lpwstr/>
  </property>
</Properties>
</file>